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57E5D" w14:textId="29416491" w:rsidR="00FF3BB0" w:rsidRPr="0052548E" w:rsidRDefault="00FF3BB0" w:rsidP="00FF3BB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D18E0">
        <w:rPr>
          <w:rFonts w:ascii="Arial" w:hAnsi="Arial" w:cs="Arial"/>
          <w:b/>
          <w:bCs/>
          <w:sz w:val="28"/>
        </w:rPr>
        <w:t xml:space="preserve"> </w:t>
      </w:r>
      <w:r w:rsidRPr="005D18E0">
        <w:rPr>
          <w:rFonts w:ascii="Arial" w:hAnsi="Arial" w:cs="Arial"/>
          <w:b/>
          <w:bCs/>
          <w:sz w:val="28"/>
        </w:rPr>
        <w:t>R1-</w:t>
      </w:r>
      <w:r w:rsidR="005D18E0" w:rsidRPr="005D18E0">
        <w:rPr>
          <w:rFonts w:ascii="Arial" w:hAnsi="Arial" w:cs="Arial"/>
          <w:b/>
          <w:bCs/>
          <w:sz w:val="28"/>
        </w:rPr>
        <w:t>19129</w:t>
      </w:r>
      <w:r w:rsidR="0014242E">
        <w:rPr>
          <w:rFonts w:ascii="Arial" w:hAnsi="Arial" w:cs="Arial"/>
          <w:b/>
          <w:bCs/>
          <w:sz w:val="28"/>
        </w:rPr>
        <w:t>84</w:t>
      </w:r>
    </w:p>
    <w:p w14:paraId="1C384C63" w14:textId="6FB4BC70" w:rsidR="009F6DEA" w:rsidRDefault="00FF3BB0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03AE0010" w14:textId="1B68EB77" w:rsidR="00BE6473" w:rsidRPr="009513AC" w:rsidRDefault="00BE6473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NV, USA</w:t>
      </w:r>
    </w:p>
    <w:p w14:paraId="38D4A48A" w14:textId="77777777" w:rsidR="00BE6473" w:rsidRDefault="00BE6473" w:rsidP="00CE3180">
      <w:pPr>
        <w:tabs>
          <w:tab w:val="left" w:pos="1985"/>
        </w:tabs>
        <w:jc w:val="both"/>
        <w:rPr>
          <w:rFonts w:ascii="Arial" w:hAnsi="Arial"/>
          <w:b/>
        </w:rPr>
      </w:pPr>
    </w:p>
    <w:p w14:paraId="612BF82B" w14:textId="55C07E46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>Agenda item:</w:t>
      </w:r>
      <w:r w:rsidRPr="000A64D8">
        <w:rPr>
          <w:rFonts w:ascii="Arial" w:hAnsi="Arial"/>
        </w:rPr>
        <w:tab/>
      </w:r>
      <w:bookmarkStart w:id="1" w:name="Source"/>
      <w:bookmarkEnd w:id="1"/>
      <w:r w:rsidR="00CE3180" w:rsidRPr="00CE3180">
        <w:rPr>
          <w:rFonts w:ascii="Arial" w:hAnsi="Arial"/>
        </w:rPr>
        <w:t>7</w:t>
      </w:r>
      <w:r w:rsidR="00CF690F">
        <w:rPr>
          <w:rFonts w:ascii="Arial" w:hAnsi="Arial" w:hint="eastAsia"/>
          <w:lang w:eastAsia="zh-CN"/>
        </w:rPr>
        <w:t>.</w:t>
      </w:r>
      <w:r w:rsidR="0014242E">
        <w:rPr>
          <w:rFonts w:ascii="Arial" w:hAnsi="Arial"/>
          <w:lang w:eastAsia="zh-CN"/>
        </w:rPr>
        <w:t>2.14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 xml:space="preserve">Source: </w:t>
      </w:r>
      <w:r w:rsidRPr="000A64D8">
        <w:rPr>
          <w:rFonts w:ascii="Arial" w:hAnsi="Arial"/>
          <w:b/>
        </w:rPr>
        <w:tab/>
      </w:r>
      <w:r w:rsidRPr="000A64D8">
        <w:rPr>
          <w:rFonts w:ascii="Arial" w:hAnsi="Arial"/>
        </w:rPr>
        <w:t>Qualcomm Incorporated</w:t>
      </w:r>
    </w:p>
    <w:p w14:paraId="1B950CDD" w14:textId="718796C6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</w:rPr>
      </w:pPr>
      <w:r w:rsidRPr="00610E63">
        <w:rPr>
          <w:rFonts w:ascii="Arial" w:hAnsi="Arial"/>
          <w:b/>
          <w:color w:val="000000" w:themeColor="text1"/>
        </w:rPr>
        <w:t>Title:</w:t>
      </w:r>
      <w:r w:rsidRPr="00610E63">
        <w:rPr>
          <w:rFonts w:ascii="Arial" w:hAnsi="Arial"/>
          <w:color w:val="000000" w:themeColor="text1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14242E" w:rsidRPr="0014242E">
        <w:rPr>
          <w:rFonts w:ascii="Arial" w:hAnsi="Arial"/>
          <w:color w:val="000000" w:themeColor="text1"/>
        </w:rPr>
        <w:t>Discussion on Rel-16 rate matching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>Document for:</w:t>
      </w:r>
      <w:r w:rsidRPr="000A64D8">
        <w:rPr>
          <w:rFonts w:ascii="Arial" w:hAnsi="Arial"/>
        </w:rPr>
        <w:tab/>
      </w:r>
      <w:bookmarkStart w:id="2" w:name="DocumentFor"/>
      <w:bookmarkEnd w:id="2"/>
      <w:r w:rsidRPr="000A64D8">
        <w:rPr>
          <w:rFonts w:ascii="Arial" w:hAnsi="Arial"/>
        </w:rPr>
        <w:t>Discussion</w:t>
      </w:r>
      <w:r>
        <w:rPr>
          <w:rFonts w:ascii="Arial" w:hAnsi="Arial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2B013EEB" w14:textId="3E9814E4" w:rsidR="00A04476" w:rsidRPr="00C41E0C" w:rsidRDefault="00515DFD" w:rsidP="00A04476">
      <w:pPr>
        <w:rPr>
          <w:lang w:val="en-GB"/>
        </w:rPr>
      </w:pPr>
      <w:r>
        <w:rPr>
          <w:lang w:val="en-GB"/>
        </w:rPr>
        <w:t>At</w:t>
      </w:r>
      <w:r w:rsidR="00C41E0C">
        <w:rPr>
          <w:lang w:val="en-GB"/>
        </w:rPr>
        <w:t xml:space="preserve"> </w:t>
      </w:r>
      <w:r>
        <w:rPr>
          <w:lang w:val="en-GB"/>
        </w:rPr>
        <w:t>the RAN1#98bis</w:t>
      </w:r>
      <w:r w:rsidR="00C41E0C">
        <w:rPr>
          <w:lang w:val="en-GB"/>
        </w:rPr>
        <w:t xml:space="preserve"> meeting</w:t>
      </w:r>
      <w:r w:rsidR="00A04476">
        <w:rPr>
          <w:lang w:val="en-GB"/>
        </w:rPr>
        <w:t>, TEI-16 proposals were discussed, including [1]. We give ou</w:t>
      </w:r>
      <w:r w:rsidR="001E37EE">
        <w:rPr>
          <w:lang w:val="en-GB"/>
        </w:rPr>
        <w:t xml:space="preserve">r </w:t>
      </w:r>
      <w:r w:rsidR="00A04476">
        <w:rPr>
          <w:lang w:val="en-GB"/>
        </w:rPr>
        <w:t>views regarding th</w:t>
      </w:r>
      <w:r w:rsidR="001E37EE">
        <w:rPr>
          <w:lang w:val="en-GB"/>
        </w:rPr>
        <w:t>e</w:t>
      </w:r>
      <w:r w:rsidR="00A04476">
        <w:rPr>
          <w:lang w:val="en-GB"/>
        </w:rPr>
        <w:t xml:space="preserve"> topic</w:t>
      </w:r>
      <w:r w:rsidR="001E37EE">
        <w:rPr>
          <w:lang w:val="en-GB"/>
        </w:rPr>
        <w:t xml:space="preserve"> of potential new rate matching operation in Rel-16. </w:t>
      </w:r>
    </w:p>
    <w:p w14:paraId="113AED9F" w14:textId="118F5551" w:rsidR="00515DFD" w:rsidRPr="00C41E0C" w:rsidRDefault="00515DFD" w:rsidP="00C41E0C">
      <w:pPr>
        <w:rPr>
          <w:lang w:val="en-GB"/>
        </w:rPr>
      </w:pPr>
    </w:p>
    <w:p w14:paraId="4F8B541F" w14:textId="1B71FB99" w:rsidR="0047392B" w:rsidRPr="0047392B" w:rsidRDefault="00134068" w:rsidP="005936FC">
      <w:pPr>
        <w:pStyle w:val="Heading1"/>
        <w:rPr>
          <w:lang w:eastAsia="zh-CN"/>
        </w:rPr>
      </w:pPr>
      <w:bookmarkStart w:id="4" w:name="_Ref525738522"/>
      <w:bookmarkStart w:id="5" w:name="_Ref471731770"/>
      <w:bookmarkStart w:id="6" w:name="_Ref462669569"/>
      <w:r>
        <w:rPr>
          <w:lang w:eastAsia="zh-CN"/>
        </w:rPr>
        <w:t>Discussion</w:t>
      </w:r>
    </w:p>
    <w:p w14:paraId="0F620498" w14:textId="27AF175B" w:rsidR="00F7006C" w:rsidRDefault="00966D60" w:rsidP="0014242E">
      <w:pPr>
        <w:rPr>
          <w:lang w:eastAsia="ja-JP"/>
        </w:rPr>
      </w:pPr>
      <w:r>
        <w:rPr>
          <w:lang w:eastAsia="ja-JP"/>
        </w:rPr>
        <w:t xml:space="preserve">Our understanding is that the </w:t>
      </w:r>
      <w:r w:rsidR="00A04476">
        <w:rPr>
          <w:lang w:eastAsia="ja-JP"/>
        </w:rPr>
        <w:t>claimed</w:t>
      </w:r>
      <w:r>
        <w:rPr>
          <w:lang w:eastAsia="ja-JP"/>
        </w:rPr>
        <w:t xml:space="preserve"> </w:t>
      </w:r>
      <w:r w:rsidR="00A04476">
        <w:rPr>
          <w:lang w:eastAsia="ja-JP"/>
        </w:rPr>
        <w:t>problem</w:t>
      </w:r>
      <w:r>
        <w:rPr>
          <w:lang w:eastAsia="ja-JP"/>
        </w:rPr>
        <w:t xml:space="preserve"> that the TEI</w:t>
      </w:r>
      <w:r w:rsidR="001E37EE">
        <w:rPr>
          <w:lang w:eastAsia="ja-JP"/>
        </w:rPr>
        <w:t>-16</w:t>
      </w:r>
      <w:r>
        <w:rPr>
          <w:lang w:eastAsia="ja-JP"/>
        </w:rPr>
        <w:t xml:space="preserve"> proposal</w:t>
      </w:r>
      <w:r w:rsidR="00344432">
        <w:rPr>
          <w:lang w:eastAsia="ja-JP"/>
        </w:rPr>
        <w:t xml:space="preserve"> in</w:t>
      </w:r>
      <w:r>
        <w:rPr>
          <w:lang w:eastAsia="ja-JP"/>
        </w:rPr>
        <w:t xml:space="preserve"> </w:t>
      </w:r>
      <w:r w:rsidR="00F7006C">
        <w:rPr>
          <w:lang w:eastAsia="ja-JP"/>
        </w:rPr>
        <w:t xml:space="preserve">[1] </w:t>
      </w:r>
      <w:r w:rsidR="00344432">
        <w:rPr>
          <w:lang w:eastAsia="ja-JP"/>
        </w:rPr>
        <w:t>intends</w:t>
      </w:r>
      <w:r>
        <w:rPr>
          <w:lang w:eastAsia="ja-JP"/>
        </w:rPr>
        <w:t xml:space="preserve"> to solve is that RBG sizes can be relatively large. In these case</w:t>
      </w:r>
      <w:r w:rsidR="00A04476">
        <w:rPr>
          <w:lang w:eastAsia="ja-JP"/>
        </w:rPr>
        <w:t>s; however,</w:t>
      </w:r>
      <w:r>
        <w:rPr>
          <w:lang w:eastAsia="ja-JP"/>
        </w:rPr>
        <w:t xml:space="preserve"> </w:t>
      </w:r>
      <w:r w:rsidR="00A74BCB">
        <w:rPr>
          <w:lang w:eastAsia="ja-JP"/>
        </w:rPr>
        <w:t xml:space="preserve">the channel BW is also large, so the achievable gain with new rate matching is limited. </w:t>
      </w:r>
      <w:r w:rsidR="00D866F2">
        <w:rPr>
          <w:lang w:eastAsia="ja-JP"/>
        </w:rPr>
        <w:t xml:space="preserve"> </w:t>
      </w:r>
      <w:r w:rsidR="00A74BCB">
        <w:rPr>
          <w:lang w:eastAsia="ja-JP"/>
        </w:rPr>
        <w:t xml:space="preserve">We would also like to note that </w:t>
      </w:r>
      <w:r>
        <w:rPr>
          <w:lang w:eastAsia="ja-JP"/>
        </w:rPr>
        <w:t>TDM-</w:t>
      </w:r>
      <w:proofErr w:type="spellStart"/>
      <w:r>
        <w:rPr>
          <w:lang w:eastAsia="ja-JP"/>
        </w:rPr>
        <w:t>ing</w:t>
      </w:r>
      <w:proofErr w:type="spellEnd"/>
      <w:r>
        <w:rPr>
          <w:lang w:eastAsia="ja-JP"/>
        </w:rPr>
        <w:t xml:space="preserve"> </w:t>
      </w:r>
      <w:r w:rsidR="00A74BCB">
        <w:rPr>
          <w:lang w:eastAsia="ja-JP"/>
        </w:rPr>
        <w:t xml:space="preserve">PDSCH </w:t>
      </w:r>
      <w:r>
        <w:rPr>
          <w:lang w:eastAsia="ja-JP"/>
        </w:rPr>
        <w:t>around SSB is</w:t>
      </w:r>
      <w:r w:rsidR="00A04476">
        <w:rPr>
          <w:lang w:eastAsia="ja-JP"/>
        </w:rPr>
        <w:t xml:space="preserve"> in general</w:t>
      </w:r>
      <w:r>
        <w:rPr>
          <w:lang w:eastAsia="ja-JP"/>
        </w:rPr>
        <w:t xml:space="preserve"> a more efficient solution, therefore we don’t think that changing SSB rate matching should be the main target. </w:t>
      </w:r>
    </w:p>
    <w:p w14:paraId="6FD92557" w14:textId="77777777" w:rsidR="00A74BCB" w:rsidRDefault="00A74BCB" w:rsidP="0014242E">
      <w:pPr>
        <w:rPr>
          <w:lang w:eastAsia="ja-JP"/>
        </w:rPr>
      </w:pPr>
    </w:p>
    <w:p w14:paraId="295EEDC5" w14:textId="77777777" w:rsidR="00A74BCB" w:rsidRDefault="00A74BCB" w:rsidP="0014242E">
      <w:pPr>
        <w:rPr>
          <w:lang w:eastAsia="ja-JP"/>
        </w:rPr>
      </w:pPr>
      <w:r>
        <w:rPr>
          <w:lang w:eastAsia="ja-JP"/>
        </w:rPr>
        <w:t xml:space="preserve">To discuss the SSB rate matching further, there are available solutions to </w:t>
      </w:r>
      <w:r w:rsidR="00F7006C" w:rsidRPr="00A04476">
        <w:rPr>
          <w:lang w:eastAsia="ja-JP"/>
        </w:rPr>
        <w:t xml:space="preserve">the issue brought up in [1], </w:t>
      </w:r>
      <w:r>
        <w:rPr>
          <w:lang w:eastAsia="ja-JP"/>
        </w:rPr>
        <w:t xml:space="preserve">as shown in Figure 1 below. </w:t>
      </w:r>
    </w:p>
    <w:p w14:paraId="5D238F2B" w14:textId="73B95E2E" w:rsidR="00F7006C" w:rsidRPr="00A04476" w:rsidRDefault="00F7006C" w:rsidP="0014242E">
      <w:pPr>
        <w:rPr>
          <w:lang w:eastAsia="ja-JP"/>
        </w:rPr>
      </w:pPr>
      <w:r w:rsidRPr="00A04476">
        <w:rPr>
          <w:lang w:eastAsia="ja-JP"/>
        </w:rPr>
        <w:t xml:space="preserve"> </w:t>
      </w:r>
    </w:p>
    <w:p w14:paraId="47DE94C7" w14:textId="4369AA53" w:rsidR="00C268D3" w:rsidRDefault="00592C8F" w:rsidP="00A74BCB">
      <w:pPr>
        <w:keepNext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1EE8A06" wp14:editId="19D60AD1">
            <wp:extent cx="2713939" cy="233228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731" cy="2386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372A">
        <w:rPr>
          <w:rFonts w:eastAsiaTheme="minorEastAsia"/>
          <w:noProof/>
          <w:lang w:eastAsia="zh-CN"/>
        </w:rPr>
        <w:t xml:space="preserve">             </w:t>
      </w:r>
      <w:r w:rsidR="0053372A">
        <w:rPr>
          <w:rFonts w:eastAsiaTheme="minorEastAsia"/>
          <w:noProof/>
          <w:lang w:eastAsia="zh-CN"/>
        </w:rPr>
        <w:drawing>
          <wp:inline distT="0" distB="0" distL="0" distR="0" wp14:anchorId="17A99142" wp14:editId="44785620">
            <wp:extent cx="2667000" cy="22919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168" cy="2298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F804CF" w14:textId="04E8325E" w:rsidR="00C268D3" w:rsidRPr="0053372A" w:rsidRDefault="0053372A" w:rsidP="00CD5947">
      <w:pPr>
        <w:pStyle w:val="ListParagraph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                                                                                                 (B)</w:t>
      </w:r>
    </w:p>
    <w:p w14:paraId="10C12872" w14:textId="3801B950" w:rsidR="0053372A" w:rsidRPr="00A04476" w:rsidRDefault="0053372A" w:rsidP="0053372A">
      <w:pPr>
        <w:jc w:val="center"/>
        <w:rPr>
          <w:b/>
          <w:bCs/>
          <w:kern w:val="2"/>
          <w:lang w:val="en-GB" w:eastAsia="zh-CN"/>
        </w:rPr>
      </w:pPr>
      <w:r w:rsidRPr="00A04476">
        <w:rPr>
          <w:b/>
          <w:bCs/>
          <w:kern w:val="2"/>
          <w:lang w:val="en-GB" w:eastAsia="zh-CN"/>
        </w:rPr>
        <w:t xml:space="preserve">Figure </w:t>
      </w:r>
      <w:r w:rsidRPr="00A04476">
        <w:rPr>
          <w:b/>
          <w:bCs/>
          <w:noProof/>
          <w:kern w:val="2"/>
          <w:lang w:val="en-GB" w:eastAsia="zh-CN"/>
        </w:rPr>
        <w:fldChar w:fldCharType="begin"/>
      </w:r>
      <w:r w:rsidRPr="00A04476">
        <w:rPr>
          <w:b/>
          <w:bCs/>
          <w:noProof/>
          <w:kern w:val="2"/>
          <w:lang w:val="en-GB" w:eastAsia="zh-CN"/>
        </w:rPr>
        <w:instrText xml:space="preserve"> SEQ Figure \* ARABIC </w:instrText>
      </w:r>
      <w:r w:rsidRPr="00A04476">
        <w:rPr>
          <w:b/>
          <w:bCs/>
          <w:noProof/>
          <w:kern w:val="2"/>
          <w:lang w:val="en-GB" w:eastAsia="zh-CN"/>
        </w:rPr>
        <w:fldChar w:fldCharType="separate"/>
      </w:r>
      <w:r w:rsidRPr="00A04476">
        <w:rPr>
          <w:b/>
          <w:bCs/>
          <w:noProof/>
          <w:kern w:val="2"/>
          <w:lang w:val="en-GB" w:eastAsia="zh-CN"/>
        </w:rPr>
        <w:t>1</w:t>
      </w:r>
      <w:r w:rsidRPr="00A04476">
        <w:rPr>
          <w:b/>
          <w:bCs/>
          <w:noProof/>
          <w:kern w:val="2"/>
          <w:lang w:val="en-GB" w:eastAsia="zh-CN"/>
        </w:rPr>
        <w:fldChar w:fldCharType="end"/>
      </w:r>
      <w:r w:rsidRPr="00A04476">
        <w:rPr>
          <w:b/>
          <w:bCs/>
          <w:kern w:val="2"/>
          <w:lang w:val="en-GB" w:eastAsia="zh-CN"/>
        </w:rPr>
        <w:t xml:space="preserve"> </w:t>
      </w:r>
      <w:r w:rsidRPr="00A04476">
        <w:rPr>
          <w:b/>
          <w:bCs/>
          <w:kern w:val="2"/>
          <w:lang w:val="en-GB" w:eastAsia="zh-CN"/>
        </w:rPr>
        <w:t>Solutions for SSB rate matching</w:t>
      </w:r>
    </w:p>
    <w:p w14:paraId="0C280308" w14:textId="77777777" w:rsidR="00C268D3" w:rsidRPr="00A04476" w:rsidRDefault="00C268D3" w:rsidP="0014242E">
      <w:pPr>
        <w:rPr>
          <w:rFonts w:eastAsiaTheme="minorEastAsia"/>
          <w:sz w:val="32"/>
          <w:szCs w:val="32"/>
          <w:lang w:eastAsia="zh-CN"/>
        </w:rPr>
      </w:pPr>
    </w:p>
    <w:p w14:paraId="7376DCD1" w14:textId="77777777" w:rsidR="0053372A" w:rsidRDefault="0053372A" w:rsidP="0014242E">
      <w:pPr>
        <w:rPr>
          <w:rFonts w:eastAsiaTheme="minorEastAsia"/>
          <w:lang w:eastAsia="zh-CN"/>
        </w:rPr>
      </w:pPr>
    </w:p>
    <w:p w14:paraId="45332867" w14:textId="74F6CE3B" w:rsidR="0053372A" w:rsidRDefault="0053372A" w:rsidP="001424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Figure 1 Option (A), two PDSCH</w:t>
      </w:r>
      <w:r w:rsidR="00A04476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A04476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scheduled in a TDM manner with different SLIV</w:t>
      </w:r>
      <w:r w:rsidR="00D866F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These can be for two different UEs or for the same UE. </w:t>
      </w:r>
    </w:p>
    <w:p w14:paraId="1AD12C89" w14:textId="77777777" w:rsidR="0053372A" w:rsidRDefault="0053372A" w:rsidP="0014242E">
      <w:pPr>
        <w:rPr>
          <w:rFonts w:eastAsiaTheme="minorEastAsia"/>
          <w:lang w:eastAsia="zh-CN"/>
        </w:rPr>
      </w:pPr>
    </w:p>
    <w:p w14:paraId="38317490" w14:textId="3A137AFC" w:rsidR="0053372A" w:rsidRDefault="0053372A" w:rsidP="0053372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</w:t>
      </w:r>
      <w:r>
        <w:rPr>
          <w:rFonts w:eastAsiaTheme="minorEastAsia"/>
          <w:lang w:eastAsia="zh-CN"/>
        </w:rPr>
        <w:t>Figure</w:t>
      </w:r>
      <w:r>
        <w:rPr>
          <w:rFonts w:eastAsiaTheme="minorEastAsia"/>
          <w:lang w:eastAsia="zh-CN"/>
        </w:rPr>
        <w:t xml:space="preserve"> 1 Option (</w:t>
      </w:r>
      <w:r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), two PDSCH</w:t>
      </w:r>
      <w:r w:rsidR="00A04476">
        <w:rPr>
          <w:rFonts w:eastAsiaTheme="minorEastAsia"/>
          <w:lang w:eastAsia="zh-CN"/>
        </w:rPr>
        <w:t>s are</w:t>
      </w:r>
      <w:r>
        <w:rPr>
          <w:rFonts w:eastAsiaTheme="minorEastAsia"/>
          <w:lang w:eastAsia="zh-CN"/>
        </w:rPr>
        <w:t xml:space="preserve"> scheduled in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 xml:space="preserve">DM manner </w:t>
      </w:r>
      <w:r>
        <w:rPr>
          <w:rFonts w:eastAsiaTheme="minorEastAsia"/>
          <w:lang w:eastAsia="zh-CN"/>
        </w:rPr>
        <w:t xml:space="preserve">for two different UEs.  For the first UE, a dynamic rate matching pattern </w:t>
      </w:r>
      <w:r w:rsidR="00A04476">
        <w:rPr>
          <w:rFonts w:eastAsiaTheme="minorEastAsia"/>
          <w:lang w:eastAsia="zh-CN"/>
        </w:rPr>
        <w:t>covers all symbols in the center 4 RBs. For the second UE, the dynam</w:t>
      </w:r>
      <w:r w:rsidR="008E1590">
        <w:rPr>
          <w:rFonts w:eastAsiaTheme="minorEastAsia"/>
          <w:lang w:eastAsia="zh-CN"/>
        </w:rPr>
        <w:t>ic rate matching pattern is turned off</w:t>
      </w:r>
      <w:r w:rsidR="00A04476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 </w:t>
      </w:r>
    </w:p>
    <w:p w14:paraId="561D6627" w14:textId="79077C3E" w:rsidR="0053372A" w:rsidRDefault="0053372A" w:rsidP="0014242E">
      <w:pPr>
        <w:rPr>
          <w:rFonts w:eastAsiaTheme="minorEastAsia"/>
          <w:lang w:eastAsia="zh-CN"/>
        </w:rPr>
      </w:pPr>
    </w:p>
    <w:p w14:paraId="2F365DFF" w14:textId="4DD8C103" w:rsidR="00A04476" w:rsidRDefault="00A04476" w:rsidP="001424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it can be seen from the above, for the SSB rate matching case, solutions exist where the UE doesn’t need to determine rate matching pattern by evaluating collisions with DM-R</w:t>
      </w:r>
      <w:r w:rsidR="008E1590">
        <w:rPr>
          <w:rFonts w:eastAsiaTheme="minorEastAsia"/>
          <w:lang w:eastAsia="zh-CN"/>
        </w:rPr>
        <w:t xml:space="preserve">S, the UE can just follow the rate matching configured. </w:t>
      </w:r>
    </w:p>
    <w:p w14:paraId="0F71668F" w14:textId="1510B54E" w:rsidR="00615FDC" w:rsidRDefault="00615FDC" w:rsidP="0014242E">
      <w:pPr>
        <w:rPr>
          <w:rFonts w:eastAsiaTheme="minorEastAsia"/>
          <w:lang w:eastAsia="zh-CN"/>
        </w:rPr>
      </w:pPr>
    </w:p>
    <w:p w14:paraId="7FE00A0C" w14:textId="77777777" w:rsidR="00163C2D" w:rsidRDefault="00163C2D" w:rsidP="00163C2D">
      <w:pPr>
        <w:rPr>
          <w:lang w:eastAsia="ja-JP"/>
        </w:rPr>
      </w:pPr>
      <w:r>
        <w:rPr>
          <w:lang w:eastAsia="ja-JP"/>
        </w:rPr>
        <w:t xml:space="preserve">On the other hand, some companies mentioned the case where </w:t>
      </w:r>
      <w:proofErr w:type="spellStart"/>
      <w:r>
        <w:rPr>
          <w:lang w:eastAsia="ja-JP"/>
        </w:rPr>
        <w:t>eMTC</w:t>
      </w:r>
      <w:proofErr w:type="spellEnd"/>
      <w:r>
        <w:rPr>
          <w:lang w:eastAsia="ja-JP"/>
        </w:rPr>
        <w:t xml:space="preserve">, NB-IoT or other narrow band transmission occupies some part of the channel. We think that trying to solve this problem is more useful. </w:t>
      </w:r>
    </w:p>
    <w:p w14:paraId="50EE590E" w14:textId="77777777" w:rsidR="00163C2D" w:rsidRDefault="00163C2D" w:rsidP="00163C2D">
      <w:pPr>
        <w:rPr>
          <w:lang w:eastAsia="ja-JP"/>
        </w:rPr>
      </w:pPr>
    </w:p>
    <w:p w14:paraId="62DB6119" w14:textId="77777777" w:rsidR="00163C2D" w:rsidRPr="00F7006C" w:rsidRDefault="00163C2D" w:rsidP="00163C2D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1: </w:t>
      </w:r>
    </w:p>
    <w:p w14:paraId="1528F552" w14:textId="77777777" w:rsidR="00163C2D" w:rsidRPr="00F7006C" w:rsidRDefault="00163C2D" w:rsidP="00163C2D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>Focus on rate matching cases where a narrow band pattern occupies all symbols of the PDSCH</w:t>
      </w:r>
    </w:p>
    <w:p w14:paraId="565BA689" w14:textId="4D270F5C" w:rsidR="00163C2D" w:rsidRDefault="00163C2D" w:rsidP="0014242E">
      <w:pPr>
        <w:rPr>
          <w:rFonts w:eastAsiaTheme="minorEastAsia"/>
          <w:lang w:eastAsia="zh-CN"/>
        </w:rPr>
      </w:pPr>
    </w:p>
    <w:p w14:paraId="6E850E2B" w14:textId="77777777" w:rsidR="00163C2D" w:rsidRDefault="00163C2D" w:rsidP="0014242E">
      <w:pPr>
        <w:rPr>
          <w:rFonts w:eastAsiaTheme="minorEastAsia"/>
          <w:lang w:eastAsia="zh-CN"/>
        </w:rPr>
      </w:pPr>
    </w:p>
    <w:p w14:paraId="7D46D1A8" w14:textId="63AF60F8" w:rsidR="00615FDC" w:rsidRDefault="00615FDC" w:rsidP="001424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following, we discuss the additional complexity that would be the result in the proposals in [1] were adopted. </w:t>
      </w:r>
    </w:p>
    <w:p w14:paraId="5A27EE92" w14:textId="6C1D8986" w:rsidR="001E37EE" w:rsidRDefault="001E37EE" w:rsidP="001424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2 shows a case where</w:t>
      </w:r>
      <w:r>
        <w:rPr>
          <w:rFonts w:eastAsiaTheme="minorEastAsia"/>
          <w:lang w:eastAsia="zh-CN"/>
        </w:rPr>
        <w:t xml:space="preserve"> the UE is given multiple rate matching patterns but depending on the actual PDSCH allocation, the UE has to dynamically determine a completely different rate matching pattern not aligned with any of the configured rate matching patterns. </w:t>
      </w:r>
    </w:p>
    <w:p w14:paraId="555C4D11" w14:textId="213D3C24" w:rsidR="0014242E" w:rsidRDefault="0014242E" w:rsidP="0014242E">
      <w:pPr>
        <w:rPr>
          <w:rFonts w:eastAsia="MS Mincho"/>
          <w:lang w:eastAsia="ja-JP"/>
        </w:rPr>
      </w:pPr>
    </w:p>
    <w:p w14:paraId="4538FA22" w14:textId="35E0C803" w:rsidR="008E1590" w:rsidRDefault="008E1590" w:rsidP="0014242E">
      <w:pPr>
        <w:rPr>
          <w:rFonts w:eastAsia="MS Mincho"/>
          <w:lang w:eastAsia="ja-JP"/>
        </w:rPr>
      </w:pPr>
    </w:p>
    <w:p w14:paraId="1922A44D" w14:textId="77777777" w:rsidR="0014242E" w:rsidRDefault="0014242E" w:rsidP="008E1590">
      <w:pPr>
        <w:jc w:val="center"/>
        <w:rPr>
          <w:rFonts w:eastAsiaTheme="minorEastAsia"/>
          <w:b/>
          <w:lang w:eastAsia="zh-CN"/>
        </w:rPr>
      </w:pPr>
      <w:r w:rsidRPr="008D0E96">
        <w:rPr>
          <w:rFonts w:eastAsia="Malgun Gothic" w:hint="eastAsia"/>
          <w:noProof/>
          <w:lang w:eastAsia="zh-CN"/>
        </w:rPr>
        <w:drawing>
          <wp:inline distT="0" distB="0" distL="0" distR="0" wp14:anchorId="0DF0F2F3" wp14:editId="6FA510BE">
            <wp:extent cx="2684145" cy="2675255"/>
            <wp:effectExtent l="0" t="0" r="1905" b="0"/>
            <wp:docPr id="35" name="図 35" descr="C:\Users\Hiroki Harada\AppData\Local\Packages\Microsoft.Office.Desktop_8wekyb3d8bbwe\AC\INetCache\Content.MSO\7720217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iroki Harada\AppData\Local\Packages\Microsoft.Office.Desktop_8wekyb3d8bbwe\AC\INetCache\Content.MSO\7720217A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5EA8C" w14:textId="77777777" w:rsidR="0014242E" w:rsidRDefault="0014242E" w:rsidP="0014242E">
      <w:pPr>
        <w:rPr>
          <w:rFonts w:eastAsiaTheme="minorEastAsia"/>
          <w:b/>
          <w:lang w:eastAsia="zh-CN"/>
        </w:rPr>
      </w:pPr>
    </w:p>
    <w:p w14:paraId="256E52E6" w14:textId="404A9217" w:rsidR="008E1590" w:rsidRDefault="008E1590" w:rsidP="008E1590">
      <w:pPr>
        <w:jc w:val="center"/>
        <w:rPr>
          <w:rFonts w:eastAsiaTheme="minorEastAsia"/>
          <w:b/>
          <w:lang w:eastAsia="zh-CN"/>
        </w:rPr>
      </w:pPr>
      <w:r w:rsidRPr="00A04476">
        <w:rPr>
          <w:b/>
          <w:bCs/>
          <w:kern w:val="2"/>
          <w:lang w:val="en-GB" w:eastAsia="zh-CN"/>
        </w:rPr>
        <w:t xml:space="preserve">Figure </w:t>
      </w:r>
      <w:r w:rsidR="001E37EE">
        <w:rPr>
          <w:b/>
          <w:bCs/>
          <w:noProof/>
          <w:kern w:val="2"/>
          <w:lang w:val="en-GB" w:eastAsia="zh-CN"/>
        </w:rPr>
        <w:t>2</w:t>
      </w:r>
      <w:r w:rsidRPr="00A04476">
        <w:rPr>
          <w:b/>
          <w:bCs/>
          <w:kern w:val="2"/>
          <w:lang w:val="en-GB" w:eastAsia="zh-CN"/>
        </w:rPr>
        <w:t xml:space="preserve"> </w:t>
      </w:r>
      <w:r>
        <w:rPr>
          <w:b/>
          <w:bCs/>
          <w:kern w:val="2"/>
          <w:lang w:val="en-GB" w:eastAsia="zh-CN"/>
        </w:rPr>
        <w:t xml:space="preserve">Example where the UE would be required to determine a new rate matching pattern </w:t>
      </w:r>
      <w:r w:rsidR="001E37EE">
        <w:rPr>
          <w:b/>
          <w:bCs/>
          <w:kern w:val="2"/>
          <w:lang w:val="en-GB" w:eastAsia="zh-CN"/>
        </w:rPr>
        <w:t>not aligned with any rate matching pattern configured</w:t>
      </w:r>
    </w:p>
    <w:p w14:paraId="3B03EF20" w14:textId="279F3F96" w:rsidR="0014242E" w:rsidRPr="00F520AD" w:rsidRDefault="0014242E" w:rsidP="0014242E">
      <w:pPr>
        <w:rPr>
          <w:rFonts w:eastAsiaTheme="minorEastAsia"/>
          <w:b/>
          <w:lang w:eastAsia="zh-CN"/>
        </w:rPr>
      </w:pPr>
    </w:p>
    <w:p w14:paraId="014EAD73" w14:textId="77777777" w:rsidR="00365408" w:rsidRDefault="00365408" w:rsidP="0014242E">
      <w:pPr>
        <w:rPr>
          <w:rFonts w:eastAsiaTheme="minorEastAsia"/>
          <w:lang w:eastAsia="zh-CN"/>
        </w:rPr>
      </w:pPr>
    </w:p>
    <w:p w14:paraId="55984091" w14:textId="1861F708" w:rsidR="001E37EE" w:rsidRDefault="001E37EE" w:rsidP="001424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avoid the complications represented by Figure 2, we make the following proposals. </w:t>
      </w:r>
    </w:p>
    <w:p w14:paraId="3872A6EE" w14:textId="77777777" w:rsidR="001E37EE" w:rsidRPr="003B24B7" w:rsidRDefault="001E37EE" w:rsidP="0014242E">
      <w:pPr>
        <w:rPr>
          <w:rFonts w:eastAsiaTheme="minorEastAsia"/>
          <w:lang w:eastAsia="zh-CN"/>
        </w:rPr>
      </w:pPr>
    </w:p>
    <w:p w14:paraId="354887C2" w14:textId="4E76E6DC" w:rsidR="001E37EE" w:rsidRPr="001E37EE" w:rsidRDefault="001E37EE" w:rsidP="001E37EE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F7006C">
        <w:rPr>
          <w:b/>
          <w:bCs/>
          <w:lang w:eastAsia="ja-JP"/>
        </w:rPr>
        <w:t xml:space="preserve">: </w:t>
      </w:r>
    </w:p>
    <w:p w14:paraId="36EB84EE" w14:textId="29A33945" w:rsidR="001E37EE" w:rsidRDefault="001E37EE" w:rsidP="001E37EE">
      <w:pPr>
        <w:rPr>
          <w:rFonts w:eastAsia="MS Mincho"/>
          <w:lang w:eastAsia="ja-JP"/>
        </w:rPr>
      </w:pPr>
      <w:r w:rsidRPr="001E37EE">
        <w:rPr>
          <w:b/>
          <w:bCs/>
          <w:lang w:eastAsia="ja-JP"/>
        </w:rPr>
        <w:t xml:space="preserve">The UE applies the new rate matching </w:t>
      </w:r>
      <w:r>
        <w:rPr>
          <w:b/>
          <w:bCs/>
          <w:lang w:eastAsia="ja-JP"/>
        </w:rPr>
        <w:t xml:space="preserve">only </w:t>
      </w:r>
      <w:r w:rsidRPr="001E37EE">
        <w:rPr>
          <w:b/>
          <w:bCs/>
          <w:lang w:eastAsia="ja-JP"/>
        </w:rPr>
        <w:t>if any rate matching pattern that collides with DM-RS is the same in all symbols of the PDSCH</w:t>
      </w:r>
      <w:r>
        <w:rPr>
          <w:b/>
          <w:bCs/>
          <w:lang w:eastAsia="ja-JP"/>
        </w:rPr>
        <w:t xml:space="preserve">. </w:t>
      </w:r>
    </w:p>
    <w:p w14:paraId="48F3FD8E" w14:textId="75D8C7DB" w:rsidR="001E37EE" w:rsidRDefault="001E37EE" w:rsidP="0014242E">
      <w:pPr>
        <w:rPr>
          <w:rFonts w:eastAsia="MS Mincho"/>
          <w:lang w:eastAsia="ja-JP"/>
        </w:rPr>
      </w:pPr>
    </w:p>
    <w:p w14:paraId="18781AD1" w14:textId="52A979F3" w:rsidR="001E37EE" w:rsidRDefault="001E37EE" w:rsidP="0014242E">
      <w:pPr>
        <w:rPr>
          <w:rFonts w:eastAsia="MS Mincho"/>
          <w:lang w:eastAsia="ja-JP"/>
        </w:rPr>
      </w:pPr>
    </w:p>
    <w:p w14:paraId="4AB837B1" w14:textId="741C9747" w:rsidR="001E37EE" w:rsidRDefault="001E37EE" w:rsidP="0014242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remaining issues, we make the following proposals. </w:t>
      </w:r>
    </w:p>
    <w:p w14:paraId="06CCAF82" w14:textId="21D35F27" w:rsidR="001E37EE" w:rsidRDefault="001E37EE" w:rsidP="0014242E">
      <w:pPr>
        <w:rPr>
          <w:rFonts w:eastAsia="MS Mincho"/>
          <w:lang w:eastAsia="ja-JP"/>
        </w:rPr>
      </w:pPr>
    </w:p>
    <w:p w14:paraId="33904895" w14:textId="774DA821" w:rsidR="001E37EE" w:rsidRPr="001E37EE" w:rsidRDefault="001E37EE" w:rsidP="001E37EE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F7006C">
        <w:rPr>
          <w:b/>
          <w:bCs/>
          <w:lang w:eastAsia="ja-JP"/>
        </w:rPr>
        <w:t xml:space="preserve">: </w:t>
      </w:r>
    </w:p>
    <w:p w14:paraId="413D4735" w14:textId="161D3538" w:rsidR="001E37EE" w:rsidRDefault="001E37EE" w:rsidP="001E37EE">
      <w:pPr>
        <w:rPr>
          <w:rFonts w:eastAsia="MS Mincho"/>
          <w:lang w:eastAsia="ja-JP"/>
        </w:rPr>
      </w:pPr>
      <w:r w:rsidRPr="001E37EE">
        <w:rPr>
          <w:b/>
          <w:bCs/>
          <w:lang w:eastAsia="ja-JP"/>
        </w:rPr>
        <w:t xml:space="preserve">The UE </w:t>
      </w:r>
      <w:r>
        <w:rPr>
          <w:b/>
          <w:bCs/>
          <w:lang w:eastAsia="ja-JP"/>
        </w:rPr>
        <w:t>doesn’t apply the new rate matching i</w:t>
      </w:r>
      <w:r w:rsidR="00365408">
        <w:rPr>
          <w:b/>
          <w:bCs/>
          <w:lang w:eastAsia="ja-JP"/>
        </w:rPr>
        <w:t>f</w:t>
      </w:r>
      <w:r>
        <w:rPr>
          <w:b/>
          <w:bCs/>
          <w:lang w:eastAsia="ja-JP"/>
        </w:rPr>
        <w:t xml:space="preserve"> PRG is wideband</w:t>
      </w:r>
      <w:r>
        <w:rPr>
          <w:b/>
          <w:bCs/>
          <w:lang w:eastAsia="ja-JP"/>
        </w:rPr>
        <w:t xml:space="preserve">. </w:t>
      </w:r>
    </w:p>
    <w:p w14:paraId="44F62FB0" w14:textId="58DB1AAE" w:rsidR="001E37EE" w:rsidRDefault="001E37EE" w:rsidP="0014242E">
      <w:pPr>
        <w:rPr>
          <w:rFonts w:eastAsia="MS Mincho"/>
          <w:lang w:eastAsia="ja-JP"/>
        </w:rPr>
      </w:pPr>
    </w:p>
    <w:p w14:paraId="2B8EC7EA" w14:textId="1007C5D7" w:rsidR="001E37EE" w:rsidRPr="001E37EE" w:rsidRDefault="001E37EE" w:rsidP="001E37EE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F7006C">
        <w:rPr>
          <w:b/>
          <w:bCs/>
          <w:lang w:eastAsia="ja-JP"/>
        </w:rPr>
        <w:t xml:space="preserve">: </w:t>
      </w:r>
    </w:p>
    <w:p w14:paraId="1F981F85" w14:textId="463F1577" w:rsidR="001E37EE" w:rsidRDefault="001E37EE" w:rsidP="001E37EE">
      <w:pPr>
        <w:rPr>
          <w:rFonts w:eastAsia="MS Mincho"/>
          <w:lang w:eastAsia="ja-JP"/>
        </w:rPr>
      </w:pPr>
      <w:r>
        <w:rPr>
          <w:b/>
          <w:bCs/>
          <w:lang w:eastAsia="ja-JP"/>
        </w:rPr>
        <w:t>Fractional PRG is not introduced for the case of the new rate matching</w:t>
      </w:r>
      <w:r>
        <w:rPr>
          <w:b/>
          <w:bCs/>
          <w:lang w:eastAsia="ja-JP"/>
        </w:rPr>
        <w:t xml:space="preserve">. </w:t>
      </w:r>
    </w:p>
    <w:p w14:paraId="689B5EC0" w14:textId="77777777" w:rsidR="001E37EE" w:rsidRDefault="001E37EE" w:rsidP="0014242E">
      <w:pPr>
        <w:rPr>
          <w:rFonts w:eastAsia="MS Mincho"/>
          <w:lang w:eastAsia="ja-JP"/>
        </w:rPr>
      </w:pPr>
    </w:p>
    <w:p w14:paraId="388E468E" w14:textId="77777777" w:rsidR="0014242E" w:rsidRPr="009F0F52" w:rsidRDefault="0014242E" w:rsidP="0014242E">
      <w:pPr>
        <w:pStyle w:val="Heading1"/>
        <w:keepLines w:val="0"/>
        <w:pBdr>
          <w:top w:val="none" w:sz="0" w:space="0" w:color="auto"/>
        </w:pBdr>
        <w:tabs>
          <w:tab w:val="num" w:pos="432"/>
        </w:tabs>
        <w:overflowPunct/>
        <w:snapToGrid w:val="0"/>
        <w:spacing w:after="120"/>
        <w:ind w:left="431" w:hanging="431"/>
        <w:jc w:val="both"/>
        <w:textAlignment w:val="auto"/>
        <w:rPr>
          <w:lang w:eastAsia="zh-CN"/>
        </w:rPr>
      </w:pPr>
      <w:r w:rsidRPr="009F0F52">
        <w:rPr>
          <w:lang w:eastAsia="zh-CN"/>
        </w:rPr>
        <w:t>Conclusion</w:t>
      </w:r>
    </w:p>
    <w:p w14:paraId="453596EB" w14:textId="760645A7" w:rsidR="0014242E" w:rsidRDefault="00365408" w:rsidP="0014242E">
      <w:pPr>
        <w:rPr>
          <w:lang w:val="en-GB" w:eastAsia="zh-CN"/>
        </w:rPr>
      </w:pPr>
      <w:r>
        <w:rPr>
          <w:lang w:val="en-GB" w:eastAsia="zh-CN"/>
        </w:rPr>
        <w:t xml:space="preserve">Regarding the TEI-16 on possible new PDSCH rate matching operation, we made the following proposals: </w:t>
      </w:r>
    </w:p>
    <w:p w14:paraId="60D15996" w14:textId="77777777" w:rsidR="00365408" w:rsidRDefault="00365408" w:rsidP="00365408">
      <w:pPr>
        <w:rPr>
          <w:lang w:eastAsia="ja-JP"/>
        </w:rPr>
      </w:pPr>
    </w:p>
    <w:p w14:paraId="5A66B83E" w14:textId="77777777" w:rsidR="00365408" w:rsidRPr="00F7006C" w:rsidRDefault="00365408" w:rsidP="00365408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1: </w:t>
      </w:r>
    </w:p>
    <w:p w14:paraId="31B6F9D1" w14:textId="77777777" w:rsidR="00365408" w:rsidRPr="00F7006C" w:rsidRDefault="00365408" w:rsidP="00365408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>Focus on rate matching cases where a narrow band pattern occupies all symbols of the PDSCH</w:t>
      </w:r>
    </w:p>
    <w:p w14:paraId="69AB0450" w14:textId="77777777" w:rsidR="00365408" w:rsidRDefault="00365408" w:rsidP="0014242E">
      <w:pPr>
        <w:rPr>
          <w:lang w:val="en-GB" w:eastAsia="zh-CN"/>
        </w:rPr>
      </w:pPr>
    </w:p>
    <w:p w14:paraId="6FEB53A0" w14:textId="77777777" w:rsidR="00365408" w:rsidRPr="001E37EE" w:rsidRDefault="00365408" w:rsidP="00365408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F7006C">
        <w:rPr>
          <w:b/>
          <w:bCs/>
          <w:lang w:eastAsia="ja-JP"/>
        </w:rPr>
        <w:t xml:space="preserve">: </w:t>
      </w:r>
    </w:p>
    <w:p w14:paraId="31F4023C" w14:textId="77777777" w:rsidR="00365408" w:rsidRDefault="00365408" w:rsidP="00365408">
      <w:pPr>
        <w:rPr>
          <w:rFonts w:eastAsia="MS Mincho"/>
          <w:lang w:eastAsia="ja-JP"/>
        </w:rPr>
      </w:pPr>
      <w:r w:rsidRPr="001E37EE">
        <w:rPr>
          <w:b/>
          <w:bCs/>
          <w:lang w:eastAsia="ja-JP"/>
        </w:rPr>
        <w:t xml:space="preserve">The UE applies the new rate matching </w:t>
      </w:r>
      <w:r>
        <w:rPr>
          <w:b/>
          <w:bCs/>
          <w:lang w:eastAsia="ja-JP"/>
        </w:rPr>
        <w:t xml:space="preserve">only </w:t>
      </w:r>
      <w:r w:rsidRPr="001E37EE">
        <w:rPr>
          <w:b/>
          <w:bCs/>
          <w:lang w:eastAsia="ja-JP"/>
        </w:rPr>
        <w:t>if any rate matching pattern that collides with DM-RS is the same in all symbols of the PDSCH</w:t>
      </w:r>
      <w:r>
        <w:rPr>
          <w:b/>
          <w:bCs/>
          <w:lang w:eastAsia="ja-JP"/>
        </w:rPr>
        <w:t xml:space="preserve">. </w:t>
      </w:r>
    </w:p>
    <w:p w14:paraId="19817E3F" w14:textId="0CD5DAAE" w:rsidR="00365408" w:rsidRDefault="00365408" w:rsidP="00365408">
      <w:pPr>
        <w:rPr>
          <w:rFonts w:eastAsia="MS Mincho"/>
          <w:lang w:eastAsia="ja-JP"/>
        </w:rPr>
      </w:pPr>
    </w:p>
    <w:p w14:paraId="5EB6DD61" w14:textId="77777777" w:rsidR="00365408" w:rsidRPr="001E37EE" w:rsidRDefault="00365408" w:rsidP="00365408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F7006C">
        <w:rPr>
          <w:b/>
          <w:bCs/>
          <w:lang w:eastAsia="ja-JP"/>
        </w:rPr>
        <w:t xml:space="preserve">: </w:t>
      </w:r>
    </w:p>
    <w:p w14:paraId="2857A9C2" w14:textId="77777777" w:rsidR="00365408" w:rsidRDefault="00365408" w:rsidP="00365408">
      <w:pPr>
        <w:rPr>
          <w:rFonts w:eastAsia="MS Mincho"/>
          <w:lang w:eastAsia="ja-JP"/>
        </w:rPr>
      </w:pPr>
      <w:r w:rsidRPr="001E37EE">
        <w:rPr>
          <w:b/>
          <w:bCs/>
          <w:lang w:eastAsia="ja-JP"/>
        </w:rPr>
        <w:t xml:space="preserve">The UE </w:t>
      </w:r>
      <w:r>
        <w:rPr>
          <w:b/>
          <w:bCs/>
          <w:lang w:eastAsia="ja-JP"/>
        </w:rPr>
        <w:t xml:space="preserve">doesn’t apply the new rate matching if PRG is wideband. </w:t>
      </w:r>
    </w:p>
    <w:p w14:paraId="461830F2" w14:textId="77777777" w:rsidR="00365408" w:rsidRDefault="00365408" w:rsidP="00365408">
      <w:pPr>
        <w:rPr>
          <w:rFonts w:eastAsia="MS Mincho"/>
          <w:lang w:eastAsia="ja-JP"/>
        </w:rPr>
      </w:pPr>
    </w:p>
    <w:p w14:paraId="291A99F8" w14:textId="77777777" w:rsidR="00365408" w:rsidRPr="001E37EE" w:rsidRDefault="00365408" w:rsidP="00365408">
      <w:pPr>
        <w:rPr>
          <w:b/>
          <w:bCs/>
          <w:lang w:eastAsia="ja-JP"/>
        </w:rPr>
      </w:pPr>
      <w:r w:rsidRPr="00F7006C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F7006C">
        <w:rPr>
          <w:b/>
          <w:bCs/>
          <w:lang w:eastAsia="ja-JP"/>
        </w:rPr>
        <w:t xml:space="preserve">: </w:t>
      </w:r>
    </w:p>
    <w:p w14:paraId="7C9181B4" w14:textId="77777777" w:rsidR="00365408" w:rsidRDefault="00365408" w:rsidP="00365408">
      <w:pPr>
        <w:rPr>
          <w:rFonts w:eastAsia="MS Mincho"/>
          <w:lang w:eastAsia="ja-JP"/>
        </w:rPr>
      </w:pPr>
      <w:r>
        <w:rPr>
          <w:b/>
          <w:bCs/>
          <w:lang w:eastAsia="ja-JP"/>
        </w:rPr>
        <w:t xml:space="preserve">Fractional PRG is not introduced for the case of the new rate matching. </w:t>
      </w:r>
    </w:p>
    <w:p w14:paraId="7529C296" w14:textId="77777777" w:rsidR="00365408" w:rsidRDefault="00365408" w:rsidP="00365408">
      <w:pPr>
        <w:rPr>
          <w:rFonts w:eastAsia="MS Mincho"/>
          <w:lang w:eastAsia="ja-JP"/>
        </w:rPr>
      </w:pPr>
    </w:p>
    <w:p w14:paraId="33EB8D57" w14:textId="77777777" w:rsidR="0014242E" w:rsidRDefault="0014242E" w:rsidP="0014242E">
      <w:pPr>
        <w:spacing w:afterLines="50" w:after="120"/>
        <w:rPr>
          <w:rFonts w:eastAsia="MS Mincho"/>
        </w:rPr>
      </w:pPr>
    </w:p>
    <w:p w14:paraId="7AEB6480" w14:textId="77777777" w:rsidR="0014242E" w:rsidRPr="00CF195E" w:rsidRDefault="0014242E" w:rsidP="0014242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14:paraId="337B7691" w14:textId="168FCA93" w:rsidR="0014242E" w:rsidRDefault="0014242E" w:rsidP="0014242E">
      <w:pPr>
        <w:pStyle w:val="References"/>
        <w:rPr>
          <w:lang w:eastAsia="zh-CN"/>
        </w:rPr>
      </w:pPr>
      <w:bookmarkStart w:id="10" w:name="_Ref450662982"/>
      <w:bookmarkStart w:id="11" w:name="_Ref457851771"/>
      <w:bookmarkStart w:id="12" w:name="_Ref450661959"/>
      <w:bookmarkStart w:id="13" w:name="_Ref167612875"/>
      <w:bookmarkStart w:id="14" w:name="_Ref167612671"/>
      <w:bookmarkEnd w:id="7"/>
      <w:bookmarkEnd w:id="8"/>
      <w:bookmarkEnd w:id="9"/>
      <w:r w:rsidRPr="0079138F">
        <w:rPr>
          <w:lang w:eastAsia="zh-CN"/>
        </w:rPr>
        <w:t>R1-191</w:t>
      </w:r>
      <w:r w:rsidR="00C268D3">
        <w:rPr>
          <w:lang w:eastAsia="zh-CN"/>
        </w:rPr>
        <w:t>1555</w:t>
      </w:r>
      <w:r>
        <w:rPr>
          <w:lang w:eastAsia="zh-CN"/>
        </w:rPr>
        <w:t>, “</w:t>
      </w:r>
      <w:r w:rsidR="00C268D3" w:rsidRPr="00C268D3">
        <w:rPr>
          <w:lang w:eastAsia="zh-CN"/>
        </w:rPr>
        <w:t xml:space="preserve">Summary of discussions on </w:t>
      </w:r>
      <w:proofErr w:type="spellStart"/>
      <w:r w:rsidR="00C268D3" w:rsidRPr="00C268D3">
        <w:rPr>
          <w:lang w:eastAsia="zh-CN"/>
        </w:rPr>
        <w:t>SSB&amp;rate</w:t>
      </w:r>
      <w:proofErr w:type="spellEnd"/>
      <w:r w:rsidR="00C268D3" w:rsidRPr="00C268D3">
        <w:rPr>
          <w:lang w:eastAsia="zh-CN"/>
        </w:rPr>
        <w:t xml:space="preserve"> matching pattern overlapping with PDSCH DMRS</w:t>
      </w:r>
      <w:r>
        <w:rPr>
          <w:lang w:eastAsia="zh-CN"/>
        </w:rPr>
        <w:t xml:space="preserve">”, </w:t>
      </w:r>
      <w:r w:rsidR="00163C2D">
        <w:rPr>
          <w:lang w:eastAsia="zh-CN"/>
        </w:rPr>
        <w:t>Huawei</w:t>
      </w:r>
    </w:p>
    <w:p w14:paraId="255B1E14" w14:textId="720CB803" w:rsidR="00163C2D" w:rsidRDefault="001754CC" w:rsidP="0014242E">
      <w:pPr>
        <w:pStyle w:val="References"/>
        <w:rPr>
          <w:lang w:eastAsia="zh-CN"/>
        </w:rPr>
      </w:pPr>
      <w:bookmarkStart w:id="15" w:name="_GoBack"/>
      <w:bookmarkEnd w:id="15"/>
      <w:r w:rsidRPr="001754CC">
        <w:rPr>
          <w:lang w:eastAsia="zh-CN"/>
        </w:rPr>
        <w:t>R1-1911192</w:t>
      </w:r>
      <w:r>
        <w:rPr>
          <w:lang w:eastAsia="zh-CN"/>
        </w:rPr>
        <w:t>, “</w:t>
      </w:r>
      <w:r w:rsidRPr="001754CC">
        <w:rPr>
          <w:lang w:eastAsia="zh-CN"/>
        </w:rPr>
        <w:t>Summary on NR Rel-16 TEI related discussion</w:t>
      </w:r>
      <w:r>
        <w:rPr>
          <w:lang w:eastAsia="zh-CN"/>
        </w:rPr>
        <w:t xml:space="preserve">”, </w:t>
      </w:r>
      <w:r w:rsidRPr="001754CC">
        <w:rPr>
          <w:lang w:eastAsia="zh-CN"/>
        </w:rPr>
        <w:t>NTT DOCOMO</w:t>
      </w:r>
      <w:bookmarkEnd w:id="4"/>
      <w:bookmarkEnd w:id="5"/>
      <w:bookmarkEnd w:id="6"/>
      <w:bookmarkEnd w:id="10"/>
      <w:bookmarkEnd w:id="11"/>
      <w:bookmarkEnd w:id="12"/>
      <w:bookmarkEnd w:id="13"/>
      <w:bookmarkEnd w:id="14"/>
    </w:p>
    <w:sectPr w:rsidR="00163C2D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31716" w14:textId="77777777" w:rsidR="00CD5947" w:rsidRDefault="00CD5947">
      <w:r>
        <w:separator/>
      </w:r>
    </w:p>
  </w:endnote>
  <w:endnote w:type="continuationSeparator" w:id="0">
    <w:p w14:paraId="6C8937EF" w14:textId="77777777" w:rsidR="00CD5947" w:rsidRDefault="00CD5947">
      <w:r>
        <w:continuationSeparator/>
      </w:r>
    </w:p>
  </w:endnote>
  <w:endnote w:type="continuationNotice" w:id="1">
    <w:p w14:paraId="4452F1E6" w14:textId="77777777" w:rsidR="00CD5947" w:rsidRDefault="00CD5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6849E2" w:rsidRDefault="006849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849E2" w:rsidRDefault="006849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77911F3" w:rsidR="006849E2" w:rsidRDefault="006849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1218D" w14:textId="77777777" w:rsidR="00CD5947" w:rsidRDefault="00CD5947">
      <w:r>
        <w:separator/>
      </w:r>
    </w:p>
  </w:footnote>
  <w:footnote w:type="continuationSeparator" w:id="0">
    <w:p w14:paraId="7329CBDC" w14:textId="77777777" w:rsidR="00CD5947" w:rsidRDefault="00CD5947">
      <w:r>
        <w:continuationSeparator/>
      </w:r>
    </w:p>
  </w:footnote>
  <w:footnote w:type="continuationNotice" w:id="1">
    <w:p w14:paraId="092759AB" w14:textId="77777777" w:rsidR="00CD5947" w:rsidRDefault="00CD59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6849E2" w:rsidRDefault="00684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E14F9B"/>
    <w:multiLevelType w:val="hybridMultilevel"/>
    <w:tmpl w:val="0B285004"/>
    <w:lvl w:ilvl="0" w:tplc="AF4C6B4E">
      <w:start w:val="1"/>
      <w:numFmt w:val="upp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1E1C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068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42E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2D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4C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ADF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7E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76E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8B0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08E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AC6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432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BB4"/>
    <w:rsid w:val="00363FC9"/>
    <w:rsid w:val="00364607"/>
    <w:rsid w:val="0036481B"/>
    <w:rsid w:val="00364935"/>
    <w:rsid w:val="00365023"/>
    <w:rsid w:val="00365408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B3F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25C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7F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DFD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72A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C8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66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FDC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07D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533"/>
    <w:rsid w:val="008B7B24"/>
    <w:rsid w:val="008C0581"/>
    <w:rsid w:val="008C0742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90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D60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3B9"/>
    <w:rsid w:val="00A04476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BCB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20C"/>
    <w:rsid w:val="00BE6473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8D3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A7F0A"/>
    <w:rsid w:val="00CB00AB"/>
    <w:rsid w:val="00CB010F"/>
    <w:rsid w:val="00CB01BC"/>
    <w:rsid w:val="00CB03CF"/>
    <w:rsid w:val="00CB047F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947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6F2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BAF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CA"/>
    <w:rsid w:val="00E450D8"/>
    <w:rsid w:val="00E452D0"/>
    <w:rsid w:val="00E45A9D"/>
    <w:rsid w:val="00E45F03"/>
    <w:rsid w:val="00E460A1"/>
    <w:rsid w:val="00E46288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06C"/>
    <w:rsid w:val="00F701F3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17A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47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</w:rPr>
  </w:style>
  <w:style w:type="paragraph" w:styleId="BodyText">
    <w:name w:val="Body Text"/>
    <w:aliases w:val="bt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SimSun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SimSun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</w:pPr>
    <w:rPr>
      <w:rFonts w:eastAsia="SimSun"/>
      <w:sz w:val="22"/>
      <w:szCs w:val="20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eastAsia="SimSun"/>
      <w:b/>
      <w:sz w:val="22"/>
      <w:szCs w:val="20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HR33RHYHUWRF-4-16032</_dlc_DocId>
    <_dlc_DocIdUrl xmlns="c06861ca-3f08-4d07-bff7-bb15bac121f4">
      <Url>https://projects.qualcomm.com/sites/pentari/_layouts/15/DocIdRedir.aspx?ID=HR33RHYHUWRF-4-16032</Url>
      <Description>HR33RHYHUWRF-4-16032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CAF98950-A4A8-4F86-AF64-8CD16E7B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Peter Gaal</cp:lastModifiedBy>
  <cp:revision>47</cp:revision>
  <cp:lastPrinted>2018-02-15T07:29:00Z</cp:lastPrinted>
  <dcterms:created xsi:type="dcterms:W3CDTF">2019-11-09T00:22:00Z</dcterms:created>
  <dcterms:modified xsi:type="dcterms:W3CDTF">2019-11-19T07:49:00Z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92bbe2e5-4d59-4836-a92f-f06bf32ac24c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